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F830" w14:textId="6A886F4A" w:rsidR="009B2CE8" w:rsidRDefault="00957F7D">
      <w:r>
        <w:t xml:space="preserve">Volunteer Meeting Minutes </w:t>
      </w:r>
      <w:r w:rsidR="008809D7">
        <w:t>3 Sept 2021</w:t>
      </w:r>
    </w:p>
    <w:p w14:paraId="59E5A599" w14:textId="77777777" w:rsidR="00524ED7" w:rsidRPr="00985801" w:rsidRDefault="00524ED7" w:rsidP="00524ED7">
      <w:pPr>
        <w:pStyle w:val="NoSpacing"/>
        <w:rPr>
          <w:b/>
          <w:bCs/>
          <w:u w:val="single"/>
        </w:rPr>
      </w:pPr>
      <w:r w:rsidRPr="00985801">
        <w:rPr>
          <w:b/>
          <w:bCs/>
          <w:u w:val="single"/>
        </w:rPr>
        <w:t xml:space="preserve">Events </w:t>
      </w:r>
    </w:p>
    <w:p w14:paraId="61FE859E" w14:textId="77777777" w:rsidR="00524ED7" w:rsidRPr="00524ED7" w:rsidRDefault="00524ED7" w:rsidP="00524ED7">
      <w:pPr>
        <w:pStyle w:val="NoSpacing"/>
      </w:pPr>
    </w:p>
    <w:p w14:paraId="7C58F47B" w14:textId="77777777" w:rsidR="00524ED7" w:rsidRPr="00524ED7" w:rsidRDefault="00524ED7" w:rsidP="00524ED7">
      <w:pPr>
        <w:pStyle w:val="NoSpacing"/>
      </w:pPr>
      <w:r w:rsidRPr="00524ED7">
        <w:t>August</w:t>
      </w:r>
    </w:p>
    <w:p w14:paraId="5FAE9B86" w14:textId="75AC801D" w:rsidR="00C50D49" w:rsidRDefault="00524ED7" w:rsidP="00B851CF">
      <w:pPr>
        <w:pStyle w:val="NoSpacing"/>
        <w:numPr>
          <w:ilvl w:val="0"/>
          <w:numId w:val="8"/>
        </w:numPr>
      </w:pPr>
      <w:r w:rsidRPr="00524ED7">
        <w:t>Lunar Lecture 22 Aug at 4pm, Erasmus Darwin’s Gardens by Paul Elliott</w:t>
      </w:r>
      <w:r w:rsidR="003F7678">
        <w:t xml:space="preserve"> – I have some of the books available at a special price of £25 RRP £39.99</w:t>
      </w:r>
    </w:p>
    <w:p w14:paraId="54928019" w14:textId="0932ABE6" w:rsidR="00B851CF" w:rsidRDefault="00B851CF" w:rsidP="00B851CF">
      <w:pPr>
        <w:pStyle w:val="NoSpacing"/>
        <w:numPr>
          <w:ilvl w:val="0"/>
          <w:numId w:val="8"/>
        </w:numPr>
      </w:pPr>
      <w:r>
        <w:t>Wedding x 1</w:t>
      </w:r>
    </w:p>
    <w:p w14:paraId="77F95A10" w14:textId="558E29C6" w:rsidR="001516C0" w:rsidRDefault="001516C0" w:rsidP="00B851CF">
      <w:pPr>
        <w:pStyle w:val="NoSpacing"/>
        <w:numPr>
          <w:ilvl w:val="0"/>
          <w:numId w:val="8"/>
        </w:numPr>
      </w:pPr>
      <w:r>
        <w:t xml:space="preserve">Bargain Hunt Filming – to be shown </w:t>
      </w:r>
      <w:r w:rsidR="00927EDD">
        <w:t>in winter</w:t>
      </w:r>
    </w:p>
    <w:p w14:paraId="49E5624D" w14:textId="09183035" w:rsidR="00927EDD" w:rsidRDefault="00927EDD" w:rsidP="00B851CF">
      <w:pPr>
        <w:pStyle w:val="NoSpacing"/>
        <w:numPr>
          <w:ilvl w:val="0"/>
          <w:numId w:val="8"/>
        </w:numPr>
      </w:pPr>
      <w:r>
        <w:t xml:space="preserve">Garden Guided Walk </w:t>
      </w:r>
    </w:p>
    <w:p w14:paraId="1AF17312" w14:textId="02E22AFC" w:rsidR="00175BAB" w:rsidRDefault="00175BAB" w:rsidP="00175BAB">
      <w:pPr>
        <w:pStyle w:val="NoSpacing"/>
      </w:pPr>
      <w:r>
        <w:t xml:space="preserve">Future events </w:t>
      </w:r>
    </w:p>
    <w:p w14:paraId="3997C2FD" w14:textId="00BAABFD" w:rsidR="00FA491A" w:rsidRDefault="00FA491A" w:rsidP="00175BAB">
      <w:pPr>
        <w:pStyle w:val="NoSpacing"/>
      </w:pPr>
    </w:p>
    <w:p w14:paraId="59837E77" w14:textId="2F8D8E5B" w:rsidR="00874C93" w:rsidRDefault="00874C93" w:rsidP="007D643B">
      <w:pPr>
        <w:pStyle w:val="NoSpacing"/>
        <w:numPr>
          <w:ilvl w:val="0"/>
          <w:numId w:val="14"/>
        </w:numPr>
      </w:pPr>
      <w:r>
        <w:t xml:space="preserve">19 September 2021 – Heritage Weekend </w:t>
      </w:r>
      <w:r w:rsidR="007979AA">
        <w:t xml:space="preserve">Free entry on Sunday only.  Numbers will be limited </w:t>
      </w:r>
      <w:r w:rsidR="00973861">
        <w:t xml:space="preserve">to 25 visitors in the museum at any one time </w:t>
      </w:r>
      <w:r w:rsidR="007979AA">
        <w:t xml:space="preserve">and no pre booking.  Garden event taking place in the afternoon.  </w:t>
      </w:r>
    </w:p>
    <w:p w14:paraId="20686C0F" w14:textId="73C54FA7" w:rsidR="00FE69BE" w:rsidRDefault="00FE69BE" w:rsidP="007D643B">
      <w:pPr>
        <w:pStyle w:val="NoSpacing"/>
        <w:numPr>
          <w:ilvl w:val="0"/>
          <w:numId w:val="14"/>
        </w:numPr>
      </w:pPr>
      <w:r>
        <w:t>30 September – Friends of EDH private viewing of the art exhibition 10am – 11am</w:t>
      </w:r>
    </w:p>
    <w:p w14:paraId="6856E7C0" w14:textId="6CF6F78B" w:rsidR="007D643B" w:rsidRDefault="00FA491A" w:rsidP="007D643B">
      <w:pPr>
        <w:pStyle w:val="NoSpacing"/>
        <w:numPr>
          <w:ilvl w:val="0"/>
          <w:numId w:val="14"/>
        </w:numPr>
      </w:pPr>
      <w:r>
        <w:t xml:space="preserve">The seminar day has been </w:t>
      </w:r>
      <w:r w:rsidR="007D643B">
        <w:t xml:space="preserve">amended and will now be held on zoom, with 4 lectures over 4 nights.  Tickets are £6 per lecture or all 4 for £20.  Existing ticket holders will be contacted. </w:t>
      </w:r>
    </w:p>
    <w:p w14:paraId="4E307388" w14:textId="77777777" w:rsidR="007D643B" w:rsidRDefault="007D643B" w:rsidP="00175BAB">
      <w:pPr>
        <w:pStyle w:val="NoSpacing"/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3921"/>
        <w:gridCol w:w="2268"/>
      </w:tblGrid>
      <w:tr w:rsidR="00FA491A" w:rsidRPr="00594E1F" w14:paraId="71D7DD02" w14:textId="77777777" w:rsidTr="00FA491A">
        <w:tc>
          <w:tcPr>
            <w:tcW w:w="2170" w:type="dxa"/>
          </w:tcPr>
          <w:p w14:paraId="4397E088" w14:textId="77777777" w:rsidR="00FA491A" w:rsidRPr="00594E1F" w:rsidRDefault="00FA491A" w:rsidP="003442A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4E1F">
              <w:rPr>
                <w:rFonts w:cstheme="minorHAnsi"/>
                <w:bCs/>
                <w:sz w:val="24"/>
                <w:szCs w:val="24"/>
              </w:rPr>
              <w:t>Lecturers</w:t>
            </w:r>
          </w:p>
        </w:tc>
        <w:tc>
          <w:tcPr>
            <w:tcW w:w="3921" w:type="dxa"/>
          </w:tcPr>
          <w:p w14:paraId="348D8FDB" w14:textId="77777777" w:rsidR="00FA491A" w:rsidRPr="00594E1F" w:rsidRDefault="00FA491A" w:rsidP="003442A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4E1F">
              <w:rPr>
                <w:rFonts w:cstheme="minorHAnsi"/>
                <w:bCs/>
                <w:sz w:val="24"/>
                <w:szCs w:val="24"/>
              </w:rPr>
              <w:t>Subject and Title</w:t>
            </w:r>
          </w:p>
        </w:tc>
        <w:tc>
          <w:tcPr>
            <w:tcW w:w="2268" w:type="dxa"/>
          </w:tcPr>
          <w:p w14:paraId="35D4A538" w14:textId="77777777" w:rsidR="00FA491A" w:rsidRPr="00594E1F" w:rsidRDefault="00FA491A" w:rsidP="003442A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Date and time </w:t>
            </w:r>
          </w:p>
        </w:tc>
      </w:tr>
      <w:tr w:rsidR="00FA491A" w:rsidRPr="00594E1F" w14:paraId="47A9B5B6" w14:textId="77777777" w:rsidTr="00FA491A">
        <w:trPr>
          <w:trHeight w:val="1432"/>
        </w:trPr>
        <w:tc>
          <w:tcPr>
            <w:tcW w:w="2170" w:type="dxa"/>
          </w:tcPr>
          <w:p w14:paraId="0146860C" w14:textId="77777777" w:rsidR="00FA491A" w:rsidRPr="00594E1F" w:rsidRDefault="00FA491A" w:rsidP="003442A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Jordan Godman</w:t>
            </w:r>
          </w:p>
        </w:tc>
        <w:tc>
          <w:tcPr>
            <w:tcW w:w="3921" w:type="dxa"/>
          </w:tcPr>
          <w:p w14:paraId="099138A1" w14:textId="77777777" w:rsidR="00FA491A" w:rsidRDefault="00FA491A" w:rsidP="003442A9">
            <w:pPr>
              <w:rPr>
                <w:rFonts w:cstheme="minorHAnsi"/>
                <w:bCs/>
                <w:sz w:val="24"/>
                <w:szCs w:val="24"/>
              </w:rPr>
            </w:pPr>
            <w:r w:rsidRPr="006161AA">
              <w:rPr>
                <w:rFonts w:cstheme="minorHAnsi"/>
                <w:bCs/>
                <w:sz w:val="24"/>
                <w:szCs w:val="24"/>
              </w:rPr>
              <w:t>The China World of Joseph Banks: James Lind, Whang at Tong, and the Macartney Embassy, 1775–1800</w:t>
            </w:r>
          </w:p>
          <w:p w14:paraId="233629CB" w14:textId="77777777" w:rsidR="00FA491A" w:rsidRPr="00594E1F" w:rsidRDefault="00FA491A" w:rsidP="003442A9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EE23A7" w14:textId="77777777" w:rsidR="00FA491A" w:rsidRDefault="00FA491A" w:rsidP="003442A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 October</w:t>
            </w:r>
          </w:p>
          <w:p w14:paraId="1DDAAA21" w14:textId="77777777" w:rsidR="00FA491A" w:rsidRPr="00594E1F" w:rsidRDefault="00FA491A" w:rsidP="003442A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7.30pm</w:t>
            </w:r>
          </w:p>
        </w:tc>
      </w:tr>
      <w:tr w:rsidR="00FA491A" w:rsidRPr="00594E1F" w14:paraId="2EE1748A" w14:textId="77777777" w:rsidTr="00FA491A">
        <w:trPr>
          <w:trHeight w:val="1432"/>
        </w:trPr>
        <w:tc>
          <w:tcPr>
            <w:tcW w:w="2170" w:type="dxa"/>
          </w:tcPr>
          <w:p w14:paraId="54ACD079" w14:textId="77777777" w:rsidR="00FA491A" w:rsidRPr="00594E1F" w:rsidRDefault="00FA491A" w:rsidP="003442A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Patrick Kaye</w:t>
            </w:r>
          </w:p>
        </w:tc>
        <w:tc>
          <w:tcPr>
            <w:tcW w:w="3921" w:type="dxa"/>
          </w:tcPr>
          <w:p w14:paraId="04C68522" w14:textId="77777777" w:rsidR="00FA491A" w:rsidRPr="00594E1F" w:rsidRDefault="00FA491A" w:rsidP="003442A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Sir Joseph Banks and His Medical World</w:t>
            </w:r>
          </w:p>
        </w:tc>
        <w:tc>
          <w:tcPr>
            <w:tcW w:w="2268" w:type="dxa"/>
          </w:tcPr>
          <w:p w14:paraId="4EEE0E4A" w14:textId="77777777" w:rsidR="00FA491A" w:rsidRPr="00594E1F" w:rsidRDefault="00FA491A" w:rsidP="003442A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 October 7.30pm</w:t>
            </w:r>
          </w:p>
        </w:tc>
      </w:tr>
      <w:tr w:rsidR="00FA491A" w:rsidRPr="00594E1F" w14:paraId="356BA120" w14:textId="77777777" w:rsidTr="00FA491A">
        <w:trPr>
          <w:trHeight w:val="1432"/>
        </w:trPr>
        <w:tc>
          <w:tcPr>
            <w:tcW w:w="2170" w:type="dxa"/>
          </w:tcPr>
          <w:p w14:paraId="1A40A468" w14:textId="77777777" w:rsidR="00FA491A" w:rsidRPr="00594E1F" w:rsidRDefault="00FA491A" w:rsidP="003442A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Lord Waldegrave </w:t>
            </w:r>
          </w:p>
        </w:tc>
        <w:tc>
          <w:tcPr>
            <w:tcW w:w="3921" w:type="dxa"/>
          </w:tcPr>
          <w:p w14:paraId="3CEFEE31" w14:textId="77777777" w:rsidR="00FA491A" w:rsidRDefault="00FA491A" w:rsidP="003442A9">
            <w:pPr>
              <w:rPr>
                <w:color w:val="1F497D"/>
              </w:rPr>
            </w:pPr>
            <w:r>
              <w:rPr>
                <w:color w:val="1F497D"/>
              </w:rPr>
              <w:t>Lord Waldegrave would like to suggest the following title for his talk: Remembering Sir Joseph in the 21</w:t>
            </w:r>
            <w:r>
              <w:rPr>
                <w:color w:val="1F497D"/>
                <w:vertAlign w:val="superscript"/>
              </w:rPr>
              <w:t>st</w:t>
            </w:r>
            <w:r>
              <w:rPr>
                <w:color w:val="1F497D"/>
              </w:rPr>
              <w:t xml:space="preserve"> Century.</w:t>
            </w:r>
          </w:p>
          <w:p w14:paraId="5B91A16B" w14:textId="77777777" w:rsidR="00FA491A" w:rsidRPr="00594E1F" w:rsidRDefault="00FA491A" w:rsidP="003442A9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A7AFB" w14:textId="77777777" w:rsidR="00FA491A" w:rsidRPr="00594E1F" w:rsidRDefault="00FA491A" w:rsidP="003442A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 October 7.30pm</w:t>
            </w:r>
          </w:p>
        </w:tc>
      </w:tr>
      <w:tr w:rsidR="00FA491A" w:rsidRPr="00594E1F" w14:paraId="2C0514CF" w14:textId="77777777" w:rsidTr="00FA491A">
        <w:trPr>
          <w:trHeight w:val="1432"/>
        </w:trPr>
        <w:tc>
          <w:tcPr>
            <w:tcW w:w="2170" w:type="dxa"/>
          </w:tcPr>
          <w:p w14:paraId="7D1113B3" w14:textId="77777777" w:rsidR="00FA491A" w:rsidRPr="00594E1F" w:rsidRDefault="00FA491A" w:rsidP="003442A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5AB8">
              <w:t>Paul Scott</w:t>
            </w:r>
          </w:p>
        </w:tc>
        <w:tc>
          <w:tcPr>
            <w:tcW w:w="3921" w:type="dxa"/>
          </w:tcPr>
          <w:p w14:paraId="132DBA62" w14:textId="77777777" w:rsidR="00FA491A" w:rsidRPr="00594E1F" w:rsidRDefault="00FA491A" w:rsidP="003442A9">
            <w:pPr>
              <w:rPr>
                <w:rFonts w:cstheme="minorHAnsi"/>
                <w:bCs/>
                <w:sz w:val="24"/>
                <w:szCs w:val="24"/>
              </w:rPr>
            </w:pPr>
            <w:r w:rsidRPr="00285AB8">
              <w:t>Agrarian to Industrialist – Joseph Banks and the ‘promotion and improvement of manufactures of this country’ Taken from a quote by John Wallace 1787</w:t>
            </w:r>
          </w:p>
        </w:tc>
        <w:tc>
          <w:tcPr>
            <w:tcW w:w="2268" w:type="dxa"/>
          </w:tcPr>
          <w:p w14:paraId="5C53FAEC" w14:textId="77777777" w:rsidR="00FA491A" w:rsidRDefault="00FA491A" w:rsidP="003442A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14 October </w:t>
            </w:r>
          </w:p>
          <w:p w14:paraId="1CCE07DA" w14:textId="77777777" w:rsidR="00FA491A" w:rsidRPr="00594E1F" w:rsidRDefault="00FA491A" w:rsidP="003442A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7.30pm</w:t>
            </w:r>
          </w:p>
        </w:tc>
      </w:tr>
    </w:tbl>
    <w:p w14:paraId="504BC8AB" w14:textId="4DEDAEFF" w:rsidR="00927EDD" w:rsidRDefault="00927EDD" w:rsidP="00175BAB">
      <w:pPr>
        <w:pStyle w:val="NoSpacing"/>
        <w:numPr>
          <w:ilvl w:val="0"/>
          <w:numId w:val="13"/>
        </w:numPr>
      </w:pPr>
      <w:r>
        <w:t xml:space="preserve">QAVS – presentation </w:t>
      </w:r>
      <w:r w:rsidR="00DD5A49">
        <w:t>20 October – details to follow</w:t>
      </w:r>
    </w:p>
    <w:p w14:paraId="7AD80EA5" w14:textId="7FFE0D29" w:rsidR="00DF5A73" w:rsidRDefault="00DF5A73" w:rsidP="00175BAB">
      <w:pPr>
        <w:pStyle w:val="NoSpacing"/>
        <w:numPr>
          <w:ilvl w:val="0"/>
          <w:numId w:val="13"/>
        </w:numPr>
      </w:pPr>
      <w:r>
        <w:t xml:space="preserve">Jigsaw puzzle sale 6/7 November – museum will be closed to visitors </w:t>
      </w:r>
    </w:p>
    <w:p w14:paraId="1CF034C5" w14:textId="3CED68BE" w:rsidR="00175BAB" w:rsidRDefault="006613F2" w:rsidP="00175BAB">
      <w:pPr>
        <w:pStyle w:val="NoSpacing"/>
        <w:numPr>
          <w:ilvl w:val="0"/>
          <w:numId w:val="13"/>
        </w:numPr>
      </w:pPr>
      <w:r>
        <w:t>1 Dec 2021 – Dressing a Georgian Lady, lecture with mulled wine and mince pie.  Pat Empsall has kindly volunteered to deliver this lecture</w:t>
      </w:r>
      <w:r w:rsidR="00874C93">
        <w:t xml:space="preserve">.  Numbers will be </w:t>
      </w:r>
      <w:proofErr w:type="gramStart"/>
      <w:r w:rsidR="00874C93">
        <w:t>limited</w:t>
      </w:r>
      <w:proofErr w:type="gramEnd"/>
      <w:r w:rsidR="00874C93">
        <w:t xml:space="preserve"> and tickets are selling quickly. </w:t>
      </w:r>
    </w:p>
    <w:p w14:paraId="11828517" w14:textId="77777777" w:rsidR="00B851CF" w:rsidRDefault="00B851CF" w:rsidP="00B851CF">
      <w:pPr>
        <w:pStyle w:val="NoSpacing"/>
        <w:ind w:left="720"/>
      </w:pPr>
    </w:p>
    <w:p w14:paraId="7C09320A" w14:textId="77777777" w:rsidR="00FD0F4A" w:rsidRDefault="00FD0F4A" w:rsidP="00764140">
      <w:pPr>
        <w:pStyle w:val="NoSpacing"/>
        <w:rPr>
          <w:b/>
          <w:bCs/>
          <w:u w:val="single"/>
        </w:rPr>
      </w:pPr>
    </w:p>
    <w:p w14:paraId="1222606B" w14:textId="77777777" w:rsidR="00FD0F4A" w:rsidRDefault="00FD0F4A" w:rsidP="00764140">
      <w:pPr>
        <w:pStyle w:val="NoSpacing"/>
        <w:rPr>
          <w:b/>
          <w:bCs/>
          <w:u w:val="single"/>
        </w:rPr>
      </w:pPr>
    </w:p>
    <w:p w14:paraId="79AB4D55" w14:textId="77777777" w:rsidR="00FD0F4A" w:rsidRDefault="00FD0F4A" w:rsidP="00764140">
      <w:pPr>
        <w:pStyle w:val="NoSpacing"/>
        <w:rPr>
          <w:b/>
          <w:bCs/>
          <w:u w:val="single"/>
        </w:rPr>
      </w:pPr>
    </w:p>
    <w:p w14:paraId="370F7DF7" w14:textId="77777777" w:rsidR="00FD0F4A" w:rsidRDefault="00FD0F4A" w:rsidP="00764140">
      <w:pPr>
        <w:pStyle w:val="NoSpacing"/>
        <w:rPr>
          <w:b/>
          <w:bCs/>
          <w:u w:val="single"/>
        </w:rPr>
      </w:pPr>
    </w:p>
    <w:p w14:paraId="5191346D" w14:textId="77777777" w:rsidR="00FD0F4A" w:rsidRDefault="00FD0F4A" w:rsidP="00764140">
      <w:pPr>
        <w:pStyle w:val="NoSpacing"/>
        <w:rPr>
          <w:b/>
          <w:bCs/>
          <w:u w:val="single"/>
        </w:rPr>
      </w:pPr>
    </w:p>
    <w:p w14:paraId="52D86FB7" w14:textId="77777777" w:rsidR="00FD0F4A" w:rsidRDefault="00FD0F4A" w:rsidP="00764140">
      <w:pPr>
        <w:pStyle w:val="NoSpacing"/>
        <w:rPr>
          <w:b/>
          <w:bCs/>
          <w:u w:val="single"/>
        </w:rPr>
      </w:pPr>
    </w:p>
    <w:p w14:paraId="5B80A5A6" w14:textId="4A950B1F" w:rsidR="00043EB1" w:rsidRDefault="006B2255" w:rsidP="00764140">
      <w:pPr>
        <w:pStyle w:val="NoSpacing"/>
        <w:rPr>
          <w:b/>
          <w:bCs/>
          <w:u w:val="single"/>
        </w:rPr>
      </w:pPr>
      <w:r w:rsidRPr="00985801">
        <w:rPr>
          <w:b/>
          <w:bCs/>
          <w:u w:val="single"/>
        </w:rPr>
        <w:t xml:space="preserve">Guidance for desk volunteers </w:t>
      </w:r>
    </w:p>
    <w:p w14:paraId="175FC61F" w14:textId="50405619" w:rsidR="00FF180C" w:rsidRDefault="00FF180C" w:rsidP="00764140">
      <w:pPr>
        <w:pStyle w:val="NoSpacing"/>
        <w:rPr>
          <w:b/>
          <w:bCs/>
          <w:u w:val="single"/>
        </w:rPr>
      </w:pPr>
    </w:p>
    <w:p w14:paraId="4F33D7D2" w14:textId="560B0188" w:rsidR="00FF180C" w:rsidRPr="00FD0F4A" w:rsidRDefault="00250D61" w:rsidP="00764140">
      <w:pPr>
        <w:pStyle w:val="NoSpacing"/>
        <w:rPr>
          <w:color w:val="FF0000"/>
          <w:sz w:val="32"/>
          <w:szCs w:val="32"/>
        </w:rPr>
      </w:pPr>
      <w:r w:rsidRPr="00FD0F4A">
        <w:rPr>
          <w:color w:val="FF0000"/>
          <w:sz w:val="32"/>
          <w:szCs w:val="32"/>
        </w:rPr>
        <w:t>With the continual changes</w:t>
      </w:r>
      <w:r w:rsidR="006B3416" w:rsidRPr="00FD0F4A">
        <w:rPr>
          <w:color w:val="FF0000"/>
          <w:sz w:val="32"/>
          <w:szCs w:val="32"/>
        </w:rPr>
        <w:t>,</w:t>
      </w:r>
      <w:r w:rsidRPr="00FD0F4A">
        <w:rPr>
          <w:color w:val="FF0000"/>
          <w:sz w:val="32"/>
          <w:szCs w:val="32"/>
        </w:rPr>
        <w:t xml:space="preserve"> </w:t>
      </w:r>
      <w:r w:rsidR="00FD0F4A">
        <w:rPr>
          <w:color w:val="FF0000"/>
          <w:sz w:val="32"/>
          <w:szCs w:val="32"/>
        </w:rPr>
        <w:t xml:space="preserve">I cannot stress enough how important it is to read the guidance notes for volunteers at the start of your shift on the desk. </w:t>
      </w:r>
    </w:p>
    <w:p w14:paraId="5D6C0523" w14:textId="77777777" w:rsidR="006B2255" w:rsidRPr="006B2255" w:rsidRDefault="006B2255" w:rsidP="006B2255">
      <w:pPr>
        <w:pStyle w:val="NoSpacing"/>
        <w:rPr>
          <w:b/>
          <w:bCs/>
        </w:rPr>
      </w:pPr>
    </w:p>
    <w:p w14:paraId="3359F4BD" w14:textId="77777777" w:rsidR="0059015D" w:rsidRDefault="0059015D" w:rsidP="006B2255">
      <w:pPr>
        <w:pStyle w:val="NoSpacing"/>
        <w:rPr>
          <w:b/>
          <w:bCs/>
        </w:rPr>
      </w:pPr>
    </w:p>
    <w:p w14:paraId="266D5486" w14:textId="2EDDB773" w:rsidR="006B2255" w:rsidRDefault="002B15B4" w:rsidP="006B2255">
      <w:pPr>
        <w:pStyle w:val="NoSpacing"/>
        <w:rPr>
          <w:b/>
          <w:bCs/>
          <w:u w:val="single"/>
        </w:rPr>
      </w:pPr>
      <w:r w:rsidRPr="00D1118E">
        <w:rPr>
          <w:b/>
          <w:bCs/>
          <w:u w:val="single"/>
        </w:rPr>
        <w:t xml:space="preserve">Reminder of </w:t>
      </w:r>
      <w:r w:rsidR="002B5726" w:rsidRPr="00D1118E">
        <w:rPr>
          <w:b/>
          <w:bCs/>
          <w:u w:val="single"/>
        </w:rPr>
        <w:t xml:space="preserve">the importance of </w:t>
      </w:r>
      <w:r w:rsidRPr="00D1118E">
        <w:rPr>
          <w:b/>
          <w:bCs/>
          <w:u w:val="single"/>
        </w:rPr>
        <w:t>gift aid</w:t>
      </w:r>
    </w:p>
    <w:p w14:paraId="0AD38F45" w14:textId="77777777" w:rsidR="00D1118E" w:rsidRPr="00D1118E" w:rsidRDefault="00D1118E" w:rsidP="006B2255">
      <w:pPr>
        <w:pStyle w:val="NoSpacing"/>
        <w:rPr>
          <w:b/>
          <w:bCs/>
          <w:u w:val="single"/>
        </w:rPr>
      </w:pPr>
    </w:p>
    <w:p w14:paraId="49C89C69" w14:textId="797F888E" w:rsidR="00901243" w:rsidRDefault="00793F66" w:rsidP="00901243">
      <w:pPr>
        <w:pStyle w:val="NoSpacing"/>
      </w:pPr>
      <w:r>
        <w:t>Most visitors are aware of Gift Aid and understand what it is</w:t>
      </w:r>
      <w:r w:rsidR="00C359ED">
        <w:t>. H</w:t>
      </w:r>
      <w:r>
        <w:t>owever</w:t>
      </w:r>
      <w:r w:rsidR="00A01290">
        <w:t>,</w:t>
      </w:r>
      <w:r>
        <w:t xml:space="preserve"> they do not always understand why it is necessary to pay an extra 10% above the standard ticket price for the payment to be eligible</w:t>
      </w:r>
      <w:r w:rsidR="00C359ED">
        <w:t xml:space="preserve"> for gift aid.  </w:t>
      </w:r>
    </w:p>
    <w:p w14:paraId="14292D04" w14:textId="0AB09E5D" w:rsidR="00C359ED" w:rsidRDefault="00C359ED" w:rsidP="00901243">
      <w:pPr>
        <w:pStyle w:val="NoSpacing"/>
      </w:pPr>
    </w:p>
    <w:p w14:paraId="34B81A32" w14:textId="5D858268" w:rsidR="00C359ED" w:rsidRDefault="00C359ED" w:rsidP="00901243">
      <w:pPr>
        <w:pStyle w:val="NoSpacing"/>
      </w:pPr>
      <w:r>
        <w:t xml:space="preserve">There is a declaration on the wall next to the desk and on the board outside which explains the reason why.  </w:t>
      </w:r>
      <w:r w:rsidR="00A01290">
        <w:t xml:space="preserve">We would prefer you to use this explanation </w:t>
      </w:r>
      <w:r w:rsidR="003927C5">
        <w:t xml:space="preserve">to ask visitors if they would like the gift aid option and if so, ask them to also complete the gift aid slip. </w:t>
      </w:r>
    </w:p>
    <w:p w14:paraId="65E8C20B" w14:textId="0D77E5D0" w:rsidR="00513FD9" w:rsidRDefault="00513FD9" w:rsidP="00901243">
      <w:pPr>
        <w:pStyle w:val="NoSpacing"/>
      </w:pPr>
    </w:p>
    <w:p w14:paraId="4BB804CC" w14:textId="01E694DB" w:rsidR="00513FD9" w:rsidRDefault="00513FD9" w:rsidP="00901243">
      <w:pPr>
        <w:pStyle w:val="NoSpacing"/>
      </w:pPr>
      <w:r>
        <w:t xml:space="preserve">The example below </w:t>
      </w:r>
      <w:r w:rsidR="00D1118E">
        <w:t xml:space="preserve">shows the difference it can make to museum finances.  </w:t>
      </w:r>
    </w:p>
    <w:p w14:paraId="6D89B6BD" w14:textId="77777777" w:rsidR="002651B0" w:rsidRPr="002651B0" w:rsidRDefault="002651B0" w:rsidP="002651B0">
      <w:pPr>
        <w:pStyle w:val="NoSpacing"/>
      </w:pPr>
    </w:p>
    <w:p w14:paraId="57346D31" w14:textId="77777777" w:rsidR="002651B0" w:rsidRPr="002651B0" w:rsidRDefault="002651B0" w:rsidP="002651B0">
      <w:pPr>
        <w:pStyle w:val="NoSpacing"/>
        <w:rPr>
          <w:b/>
          <w:bCs/>
        </w:rPr>
      </w:pPr>
      <w:r w:rsidRPr="002651B0">
        <w:rPr>
          <w:b/>
          <w:bCs/>
        </w:rPr>
        <w:t xml:space="preserve">If a visitor pays the normal entry fee of £4 per </w:t>
      </w:r>
      <w:proofErr w:type="gramStart"/>
      <w:r w:rsidRPr="002651B0">
        <w:rPr>
          <w:b/>
          <w:bCs/>
        </w:rPr>
        <w:t>person</w:t>
      </w:r>
      <w:proofErr w:type="gramEnd"/>
      <w:r w:rsidRPr="002651B0">
        <w:rPr>
          <w:b/>
          <w:bCs/>
        </w:rPr>
        <w:t xml:space="preserve"> we cannot claim gift aid on any of it, whether they are a tax payer or not. </w:t>
      </w:r>
    </w:p>
    <w:p w14:paraId="114DC672" w14:textId="77777777" w:rsidR="002651B0" w:rsidRPr="002651B0" w:rsidRDefault="002651B0" w:rsidP="002651B0">
      <w:pPr>
        <w:pStyle w:val="NoSpacing"/>
        <w:rPr>
          <w:b/>
          <w:bCs/>
        </w:rPr>
      </w:pPr>
      <w:r w:rsidRPr="002651B0">
        <w:rPr>
          <w:b/>
          <w:bCs/>
        </w:rPr>
        <w:t>Museum gets £4</w:t>
      </w:r>
    </w:p>
    <w:p w14:paraId="6FC2CE7D" w14:textId="77777777" w:rsidR="002651B0" w:rsidRPr="002651B0" w:rsidRDefault="002651B0" w:rsidP="002651B0">
      <w:pPr>
        <w:pStyle w:val="NoSpacing"/>
        <w:rPr>
          <w:b/>
          <w:bCs/>
        </w:rPr>
      </w:pPr>
      <w:r w:rsidRPr="002651B0">
        <w:rPr>
          <w:b/>
          <w:bCs/>
        </w:rPr>
        <w:t xml:space="preserve">If the visitor pays a 10% donation on top of their admission fee </w:t>
      </w:r>
      <w:proofErr w:type="spellStart"/>
      <w:proofErr w:type="gramStart"/>
      <w:r w:rsidRPr="002651B0">
        <w:rPr>
          <w:b/>
          <w:bCs/>
        </w:rPr>
        <w:t>eg</w:t>
      </w:r>
      <w:proofErr w:type="spellEnd"/>
      <w:proofErr w:type="gramEnd"/>
      <w:r w:rsidRPr="002651B0">
        <w:rPr>
          <w:b/>
          <w:bCs/>
        </w:rPr>
        <w:t xml:space="preserve"> 40p on top of the £4, if they are a tax payer we receive £4.40 from the visitor and £1.10 from the Gov </w:t>
      </w:r>
    </w:p>
    <w:p w14:paraId="3FC08692" w14:textId="1F7891C4" w:rsidR="00C359ED" w:rsidRPr="002651B0" w:rsidRDefault="002651B0" w:rsidP="002651B0">
      <w:pPr>
        <w:pStyle w:val="NoSpacing"/>
        <w:rPr>
          <w:b/>
          <w:bCs/>
        </w:rPr>
      </w:pPr>
      <w:r w:rsidRPr="002651B0">
        <w:rPr>
          <w:b/>
          <w:bCs/>
        </w:rPr>
        <w:t>Museum gets £5.50</w:t>
      </w:r>
    </w:p>
    <w:p w14:paraId="46EA2F28" w14:textId="5378F4D8" w:rsidR="00C359ED" w:rsidRDefault="00C359ED" w:rsidP="00901243">
      <w:pPr>
        <w:pStyle w:val="NoSpacing"/>
      </w:pPr>
    </w:p>
    <w:p w14:paraId="6255E0CD" w14:textId="434A30A6" w:rsidR="002651B0" w:rsidRDefault="00204081" w:rsidP="00901243">
      <w:pPr>
        <w:pStyle w:val="NoSpacing"/>
      </w:pPr>
      <w:r>
        <w:t xml:space="preserve">No other extra donation should be requested – if the customer wishes to donate </w:t>
      </w:r>
      <w:proofErr w:type="gramStart"/>
      <w:r>
        <w:t>more</w:t>
      </w:r>
      <w:proofErr w:type="gramEnd"/>
      <w:r>
        <w:t xml:space="preserve"> they will drop the money in the boxes</w:t>
      </w:r>
      <w:r w:rsidR="00F64D79">
        <w:t>.</w:t>
      </w:r>
    </w:p>
    <w:p w14:paraId="10391E9C" w14:textId="7A57F307" w:rsidR="00F64D79" w:rsidRDefault="00F64D79" w:rsidP="00901243">
      <w:pPr>
        <w:pStyle w:val="NoSpacing"/>
      </w:pPr>
    </w:p>
    <w:p w14:paraId="1B1341C4" w14:textId="7C73B60E" w:rsidR="00F64D79" w:rsidRDefault="00F64D79" w:rsidP="00901243">
      <w:pPr>
        <w:pStyle w:val="NoSpacing"/>
      </w:pPr>
      <w:r w:rsidRPr="001B1379">
        <w:rPr>
          <w:b/>
          <w:bCs/>
          <w:u w:val="single"/>
        </w:rPr>
        <w:t>Children’s trails</w:t>
      </w:r>
      <w:r>
        <w:t xml:space="preserve"> – the FREE outdoor educational trail will cease </w:t>
      </w:r>
      <w:r w:rsidR="001B1379">
        <w:t>in September.</w:t>
      </w:r>
    </w:p>
    <w:p w14:paraId="7E1C21DB" w14:textId="77777777" w:rsidR="001B1379" w:rsidRDefault="001B1379" w:rsidP="00901243">
      <w:pPr>
        <w:pStyle w:val="NoSpacing"/>
      </w:pPr>
    </w:p>
    <w:p w14:paraId="709F82D7" w14:textId="77777777" w:rsidR="00627C9B" w:rsidRDefault="002B5726" w:rsidP="002E18A9">
      <w:pPr>
        <w:pStyle w:val="NoSpacing"/>
        <w:rPr>
          <w:b/>
          <w:bCs/>
          <w:u w:val="single"/>
        </w:rPr>
      </w:pPr>
      <w:r w:rsidRPr="000244F4">
        <w:rPr>
          <w:b/>
          <w:bCs/>
          <w:u w:val="single"/>
        </w:rPr>
        <w:t xml:space="preserve">Finances </w:t>
      </w:r>
    </w:p>
    <w:p w14:paraId="0B2CEBA5" w14:textId="1AE22483" w:rsidR="002B5726" w:rsidRPr="00627C9B" w:rsidRDefault="00F177BD" w:rsidP="002E18A9">
      <w:pPr>
        <w:pStyle w:val="NoSpacing"/>
        <w:rPr>
          <w:b/>
          <w:bCs/>
          <w:u w:val="single"/>
        </w:rPr>
      </w:pPr>
      <w:r w:rsidRPr="00F177BD">
        <w:rPr>
          <w:b/>
          <w:bCs/>
          <w:noProof/>
        </w:rPr>
        <w:drawing>
          <wp:inline distT="0" distB="0" distL="0" distR="0" wp14:anchorId="4FB10A8C" wp14:editId="3F00F241">
            <wp:extent cx="4912360" cy="2131695"/>
            <wp:effectExtent l="0" t="0" r="2540" b="1905"/>
            <wp:docPr id="1" name="Chart 1" descr="Chart type: Clustered Column. 'Field2' by 'Field1'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A4DA11-376B-4251-ABCE-4342BC6240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9573B1" w14:textId="54D43977" w:rsidR="00887AB0" w:rsidRDefault="00887AB0" w:rsidP="002E18A9">
      <w:pPr>
        <w:pStyle w:val="NoSpacing"/>
        <w:rPr>
          <w:b/>
          <w:bCs/>
        </w:rPr>
      </w:pPr>
    </w:p>
    <w:p w14:paraId="6CAD5A1A" w14:textId="1C2CF4A4" w:rsidR="00887AB0" w:rsidRDefault="00BC3DDE" w:rsidP="002E18A9">
      <w:pPr>
        <w:pStyle w:val="NoSpacing"/>
        <w:rPr>
          <w:b/>
          <w:bCs/>
        </w:rPr>
      </w:pPr>
      <w:r w:rsidRPr="00BC3DDE">
        <w:rPr>
          <w:b/>
          <w:bCs/>
          <w:noProof/>
        </w:rPr>
        <w:lastRenderedPageBreak/>
        <w:drawing>
          <wp:inline distT="0" distB="0" distL="0" distR="0" wp14:anchorId="03B2007D" wp14:editId="1AE7BFF8">
            <wp:extent cx="5731510" cy="2957830"/>
            <wp:effectExtent l="0" t="0" r="2540" b="4445"/>
            <wp:docPr id="2" name="Chart 2" descr="Chart type: Clustered Column. 'Field2' by 'Field1'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F6C2219-22AC-4343-B405-13ACE2B532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162548" w14:textId="77777777" w:rsidR="00BC3DDE" w:rsidRDefault="00BC3DDE" w:rsidP="002E18A9">
      <w:pPr>
        <w:pStyle w:val="NoSpacing"/>
      </w:pPr>
    </w:p>
    <w:p w14:paraId="0E74F433" w14:textId="7A2D39FA" w:rsidR="00043A4C" w:rsidRDefault="00BC3DDE" w:rsidP="002E18A9">
      <w:pPr>
        <w:pStyle w:val="NoSpacing"/>
      </w:pPr>
      <w:r>
        <w:t>Figures from August this year have been very encouraging – keep up the good work!</w:t>
      </w:r>
    </w:p>
    <w:p w14:paraId="143D37C5" w14:textId="0B9143B5" w:rsidR="00D6754B" w:rsidRDefault="00D6754B" w:rsidP="002E18A9">
      <w:pPr>
        <w:pStyle w:val="NoSpacing"/>
      </w:pPr>
    </w:p>
    <w:p w14:paraId="5EDF20A3" w14:textId="77777777" w:rsidR="00D6754B" w:rsidRPr="000244F4" w:rsidRDefault="00D6754B" w:rsidP="002E18A9">
      <w:pPr>
        <w:pStyle w:val="NoSpacing"/>
      </w:pPr>
    </w:p>
    <w:p w14:paraId="6815EB28" w14:textId="77777777" w:rsidR="00DD5A49" w:rsidRDefault="005A2182" w:rsidP="00DD5A49">
      <w:pPr>
        <w:pStyle w:val="NoSpacing"/>
        <w:rPr>
          <w:b/>
          <w:bCs/>
          <w:u w:val="single"/>
        </w:rPr>
      </w:pPr>
      <w:r w:rsidRPr="005A2182">
        <w:rPr>
          <w:b/>
          <w:bCs/>
          <w:u w:val="single"/>
        </w:rPr>
        <w:t>AOB</w:t>
      </w:r>
    </w:p>
    <w:p w14:paraId="24283B1C" w14:textId="77777777" w:rsidR="002F14D9" w:rsidRDefault="002F14D9" w:rsidP="00DD5A49">
      <w:pPr>
        <w:pStyle w:val="NoSpacing"/>
      </w:pPr>
    </w:p>
    <w:p w14:paraId="7BD5A416" w14:textId="4BE17A93" w:rsidR="00A60455" w:rsidRDefault="009B74CD" w:rsidP="00DD5A49">
      <w:pPr>
        <w:pStyle w:val="NoSpacing"/>
      </w:pPr>
      <w:r>
        <w:t>I have</w:t>
      </w:r>
      <w:r w:rsidR="00DD5A49">
        <w:t xml:space="preserve"> noticed that some of the daily sheets are not completed correctly.  Common errors are </w:t>
      </w:r>
    </w:p>
    <w:p w14:paraId="2092EF70" w14:textId="6FD26FE4" w:rsidR="009B74CD" w:rsidRPr="00A60455" w:rsidRDefault="00A60455" w:rsidP="00A60455">
      <w:pPr>
        <w:pStyle w:val="NoSpacing"/>
        <w:numPr>
          <w:ilvl w:val="0"/>
          <w:numId w:val="16"/>
        </w:numPr>
        <w:rPr>
          <w:b/>
          <w:bCs/>
          <w:u w:val="single"/>
        </w:rPr>
      </w:pPr>
      <w:r>
        <w:t>Putting sales as cash when they are card – this I can easily spot and rectify</w:t>
      </w:r>
    </w:p>
    <w:p w14:paraId="3DA034B8" w14:textId="4C83FCE7" w:rsidR="000F6133" w:rsidRDefault="0030593C" w:rsidP="0064017C">
      <w:pPr>
        <w:pStyle w:val="NoSpacing"/>
        <w:numPr>
          <w:ilvl w:val="0"/>
          <w:numId w:val="16"/>
        </w:numPr>
        <w:rPr>
          <w:b/>
          <w:bCs/>
          <w:u w:val="single"/>
        </w:rPr>
      </w:pPr>
      <w:r>
        <w:t>Not putting down all sales figures – cash is more than there should be</w:t>
      </w:r>
      <w:r w:rsidR="00C95D3E">
        <w:t>.  I then have no idea where they money should be allocated</w:t>
      </w:r>
    </w:p>
    <w:p w14:paraId="7E8A05C7" w14:textId="597D07DE" w:rsidR="00C95D3E" w:rsidRDefault="00C95D3E" w:rsidP="0064017C">
      <w:pPr>
        <w:pStyle w:val="NoSpacing"/>
        <w:numPr>
          <w:ilvl w:val="0"/>
          <w:numId w:val="16"/>
        </w:numPr>
      </w:pPr>
      <w:r w:rsidRPr="00C95D3E">
        <w:t xml:space="preserve">Not counting </w:t>
      </w:r>
      <w:r>
        <w:t xml:space="preserve">the number of </w:t>
      </w:r>
      <w:r w:rsidR="001A0147">
        <w:t xml:space="preserve">adult/children visitors and children’s garden trails – I can have a guess from the figures but cannot always tell. </w:t>
      </w:r>
    </w:p>
    <w:p w14:paraId="2CA3AAEA" w14:textId="5E23D760" w:rsidR="007A6736" w:rsidRDefault="007A6736" w:rsidP="0064017C">
      <w:pPr>
        <w:pStyle w:val="NoSpacing"/>
        <w:numPr>
          <w:ilvl w:val="0"/>
          <w:numId w:val="16"/>
        </w:numPr>
      </w:pPr>
      <w:r>
        <w:t>No date or names at the top of the sheet</w:t>
      </w:r>
    </w:p>
    <w:p w14:paraId="200A5E89" w14:textId="77777777" w:rsidR="00D2470C" w:rsidRDefault="00D2470C" w:rsidP="00D2470C">
      <w:pPr>
        <w:pStyle w:val="NoSpacing"/>
        <w:ind w:left="765"/>
      </w:pPr>
    </w:p>
    <w:p w14:paraId="7AC6F665" w14:textId="037E804C" w:rsidR="00612BA2" w:rsidRDefault="00612BA2" w:rsidP="00612BA2">
      <w:pPr>
        <w:pStyle w:val="NoSpacing"/>
      </w:pPr>
      <w:r>
        <w:t xml:space="preserve">I fill in a spreadsheet at the end of each week </w:t>
      </w:r>
      <w:r w:rsidR="002F14D9">
        <w:t xml:space="preserve">which shows the daily takings from each source – these figures are needed for our accounts.  I also need to keep a count of numbers of visitors to the museum, which is important for us when we apply for grants.  </w:t>
      </w:r>
    </w:p>
    <w:p w14:paraId="270C9D75" w14:textId="2A014DAC" w:rsidR="00ED1F32" w:rsidRDefault="00ED1F32" w:rsidP="00612BA2">
      <w:pPr>
        <w:pStyle w:val="NoSpacing"/>
      </w:pPr>
    </w:p>
    <w:p w14:paraId="0F0D93DB" w14:textId="63D008FF" w:rsidR="00ED1F32" w:rsidRDefault="00ED1F32" w:rsidP="00612BA2">
      <w:pPr>
        <w:pStyle w:val="NoSpacing"/>
      </w:pPr>
      <w:r>
        <w:t>I appreciate it can be difficult whe</w:t>
      </w:r>
      <w:r w:rsidR="008E7B5B">
        <w:t xml:space="preserve">n you have several customers </w:t>
      </w:r>
      <w:r w:rsidR="00553B62">
        <w:t xml:space="preserve">at </w:t>
      </w:r>
      <w:proofErr w:type="gramStart"/>
      <w:r w:rsidR="00553B62">
        <w:t>once</w:t>
      </w:r>
      <w:proofErr w:type="gramEnd"/>
      <w:r w:rsidR="008E7B5B">
        <w:t xml:space="preserve"> but it would really help me if these sheets can be completed.</w:t>
      </w:r>
    </w:p>
    <w:p w14:paraId="52F8CC44" w14:textId="2DC13BD3" w:rsidR="008E7B5B" w:rsidRDefault="008E7B5B" w:rsidP="00612BA2">
      <w:pPr>
        <w:pStyle w:val="NoSpacing"/>
      </w:pPr>
    </w:p>
    <w:p w14:paraId="6920CF70" w14:textId="3FAEC243" w:rsidR="008E7B5B" w:rsidRDefault="008E7B5B" w:rsidP="00612BA2">
      <w:pPr>
        <w:pStyle w:val="NoSpacing"/>
      </w:pPr>
      <w:r>
        <w:t xml:space="preserve">Also, I do need you to use the click counter to see how many people are in the museum at any one time, both for </w:t>
      </w:r>
      <w:r w:rsidR="00404829">
        <w:t>ensuring we do not have too many people in the museum</w:t>
      </w:r>
      <w:r w:rsidR="00553B62">
        <w:t xml:space="preserve">, </w:t>
      </w:r>
      <w:proofErr w:type="gramStart"/>
      <w:r w:rsidR="00404829">
        <w:t>and also</w:t>
      </w:r>
      <w:proofErr w:type="gramEnd"/>
      <w:r w:rsidR="00404829">
        <w:t xml:space="preserve"> for making sure we have everyone out in a fire. </w:t>
      </w:r>
      <w:r>
        <w:t xml:space="preserve"> </w:t>
      </w:r>
    </w:p>
    <w:p w14:paraId="25DD6198" w14:textId="38F5BF57" w:rsidR="00404829" w:rsidRDefault="00404829" w:rsidP="00612BA2">
      <w:pPr>
        <w:pStyle w:val="NoSpacing"/>
      </w:pPr>
    </w:p>
    <w:p w14:paraId="46BA2C25" w14:textId="472DA508" w:rsidR="00404829" w:rsidRDefault="00404829" w:rsidP="00612BA2">
      <w:pPr>
        <w:pStyle w:val="NoSpacing"/>
      </w:pPr>
      <w:r>
        <w:t xml:space="preserve">Date of next meeting </w:t>
      </w:r>
      <w:r w:rsidR="00B25564">
        <w:t xml:space="preserve">1 October 2021 at 9.30am IN THE HOUSE </w:t>
      </w:r>
      <w:r w:rsidR="00B255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25564">
        <w:t xml:space="preserve"> but I will also have the zoom on in case anyone is nervous about attending.  </w:t>
      </w:r>
    </w:p>
    <w:p w14:paraId="3D20FB93" w14:textId="35600946" w:rsidR="00B25564" w:rsidRDefault="00B25564" w:rsidP="00612BA2">
      <w:pPr>
        <w:pStyle w:val="NoSpacing"/>
      </w:pPr>
    </w:p>
    <w:p w14:paraId="40509839" w14:textId="77777777" w:rsidR="00B25564" w:rsidRDefault="00B25564" w:rsidP="00612BA2">
      <w:pPr>
        <w:pStyle w:val="NoSpacing"/>
      </w:pPr>
    </w:p>
    <w:p w14:paraId="5C51B484" w14:textId="458709B0" w:rsidR="002F14D9" w:rsidRDefault="002F14D9" w:rsidP="00612BA2">
      <w:pPr>
        <w:pStyle w:val="NoSpacing"/>
      </w:pPr>
    </w:p>
    <w:p w14:paraId="688B87B1" w14:textId="77777777" w:rsidR="002F14D9" w:rsidRPr="00C95D3E" w:rsidRDefault="002F14D9" w:rsidP="00612BA2">
      <w:pPr>
        <w:pStyle w:val="NoSpacing"/>
      </w:pPr>
    </w:p>
    <w:sectPr w:rsidR="002F14D9" w:rsidRPr="00C95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CE9"/>
    <w:multiLevelType w:val="hybridMultilevel"/>
    <w:tmpl w:val="C604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601"/>
    <w:multiLevelType w:val="hybridMultilevel"/>
    <w:tmpl w:val="E3D6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1ED"/>
    <w:multiLevelType w:val="hybridMultilevel"/>
    <w:tmpl w:val="1A30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69B6"/>
    <w:multiLevelType w:val="hybridMultilevel"/>
    <w:tmpl w:val="372E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C5ADB"/>
    <w:multiLevelType w:val="hybridMultilevel"/>
    <w:tmpl w:val="88E8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B5414"/>
    <w:multiLevelType w:val="hybridMultilevel"/>
    <w:tmpl w:val="8AF67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B0EE6"/>
    <w:multiLevelType w:val="hybridMultilevel"/>
    <w:tmpl w:val="84B4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41BDD"/>
    <w:multiLevelType w:val="hybridMultilevel"/>
    <w:tmpl w:val="2336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816B7"/>
    <w:multiLevelType w:val="hybridMultilevel"/>
    <w:tmpl w:val="371E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2D5B"/>
    <w:multiLevelType w:val="hybridMultilevel"/>
    <w:tmpl w:val="5E9858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B602FA6"/>
    <w:multiLevelType w:val="hybridMultilevel"/>
    <w:tmpl w:val="6E066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F0D69"/>
    <w:multiLevelType w:val="hybridMultilevel"/>
    <w:tmpl w:val="8B5A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47E5F"/>
    <w:multiLevelType w:val="hybridMultilevel"/>
    <w:tmpl w:val="E69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052C9"/>
    <w:multiLevelType w:val="hybridMultilevel"/>
    <w:tmpl w:val="7CFC6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E22027"/>
    <w:multiLevelType w:val="hybridMultilevel"/>
    <w:tmpl w:val="4D02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3FBA"/>
    <w:multiLevelType w:val="hybridMultilevel"/>
    <w:tmpl w:val="FB94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7D"/>
    <w:rsid w:val="00001FF1"/>
    <w:rsid w:val="00003B5F"/>
    <w:rsid w:val="000217BA"/>
    <w:rsid w:val="000244F4"/>
    <w:rsid w:val="0003007E"/>
    <w:rsid w:val="00032828"/>
    <w:rsid w:val="00043A4C"/>
    <w:rsid w:val="00043EB1"/>
    <w:rsid w:val="00072214"/>
    <w:rsid w:val="000839BB"/>
    <w:rsid w:val="00084009"/>
    <w:rsid w:val="000916FC"/>
    <w:rsid w:val="000A457F"/>
    <w:rsid w:val="000D6D11"/>
    <w:rsid w:val="000F6133"/>
    <w:rsid w:val="00103ED1"/>
    <w:rsid w:val="00106E91"/>
    <w:rsid w:val="001078FE"/>
    <w:rsid w:val="00114BDF"/>
    <w:rsid w:val="00127BE9"/>
    <w:rsid w:val="001516C0"/>
    <w:rsid w:val="0015541F"/>
    <w:rsid w:val="00175652"/>
    <w:rsid w:val="00175BAB"/>
    <w:rsid w:val="001A0147"/>
    <w:rsid w:val="001A0FA5"/>
    <w:rsid w:val="001A18AD"/>
    <w:rsid w:val="001B1379"/>
    <w:rsid w:val="001B3527"/>
    <w:rsid w:val="001B6A8F"/>
    <w:rsid w:val="001D5FF9"/>
    <w:rsid w:val="001F5AE4"/>
    <w:rsid w:val="001F60FA"/>
    <w:rsid w:val="001F6A5E"/>
    <w:rsid w:val="00204081"/>
    <w:rsid w:val="0020669A"/>
    <w:rsid w:val="0021192B"/>
    <w:rsid w:val="00212274"/>
    <w:rsid w:val="00212995"/>
    <w:rsid w:val="002218D5"/>
    <w:rsid w:val="0023307A"/>
    <w:rsid w:val="002418D8"/>
    <w:rsid w:val="00244B25"/>
    <w:rsid w:val="00250D61"/>
    <w:rsid w:val="0026242F"/>
    <w:rsid w:val="002651B0"/>
    <w:rsid w:val="00282EBF"/>
    <w:rsid w:val="00286850"/>
    <w:rsid w:val="00291581"/>
    <w:rsid w:val="002A1BF0"/>
    <w:rsid w:val="002A2637"/>
    <w:rsid w:val="002A3B11"/>
    <w:rsid w:val="002B15B4"/>
    <w:rsid w:val="002B31F4"/>
    <w:rsid w:val="002B5726"/>
    <w:rsid w:val="002E18A9"/>
    <w:rsid w:val="002E56EC"/>
    <w:rsid w:val="002F14D9"/>
    <w:rsid w:val="0030593C"/>
    <w:rsid w:val="003122B2"/>
    <w:rsid w:val="00321080"/>
    <w:rsid w:val="003442A5"/>
    <w:rsid w:val="00355706"/>
    <w:rsid w:val="003927C5"/>
    <w:rsid w:val="003A2158"/>
    <w:rsid w:val="003B471E"/>
    <w:rsid w:val="003B6246"/>
    <w:rsid w:val="003C31D9"/>
    <w:rsid w:val="003D3DA0"/>
    <w:rsid w:val="003E143D"/>
    <w:rsid w:val="003F7678"/>
    <w:rsid w:val="00404829"/>
    <w:rsid w:val="00420023"/>
    <w:rsid w:val="00425E19"/>
    <w:rsid w:val="00435255"/>
    <w:rsid w:val="00443E7E"/>
    <w:rsid w:val="004537D2"/>
    <w:rsid w:val="00453CD5"/>
    <w:rsid w:val="0046102F"/>
    <w:rsid w:val="00470D30"/>
    <w:rsid w:val="0049285A"/>
    <w:rsid w:val="004A2D8D"/>
    <w:rsid w:val="004C4B1D"/>
    <w:rsid w:val="004C7487"/>
    <w:rsid w:val="005008FB"/>
    <w:rsid w:val="00513FD9"/>
    <w:rsid w:val="00524ED7"/>
    <w:rsid w:val="005347AF"/>
    <w:rsid w:val="00540CD7"/>
    <w:rsid w:val="00546124"/>
    <w:rsid w:val="00553B62"/>
    <w:rsid w:val="00553BC8"/>
    <w:rsid w:val="00562897"/>
    <w:rsid w:val="0059015D"/>
    <w:rsid w:val="005A04BC"/>
    <w:rsid w:val="005A2182"/>
    <w:rsid w:val="005B1694"/>
    <w:rsid w:val="005D7186"/>
    <w:rsid w:val="005D761C"/>
    <w:rsid w:val="005E032D"/>
    <w:rsid w:val="00610FA4"/>
    <w:rsid w:val="006112CE"/>
    <w:rsid w:val="00612BA2"/>
    <w:rsid w:val="00625E98"/>
    <w:rsid w:val="00627C9B"/>
    <w:rsid w:val="0064017C"/>
    <w:rsid w:val="00642635"/>
    <w:rsid w:val="006549FE"/>
    <w:rsid w:val="00655C1B"/>
    <w:rsid w:val="006613F2"/>
    <w:rsid w:val="00667E1D"/>
    <w:rsid w:val="00673BFC"/>
    <w:rsid w:val="006747CC"/>
    <w:rsid w:val="006757D8"/>
    <w:rsid w:val="006A6D38"/>
    <w:rsid w:val="006B2255"/>
    <w:rsid w:val="006B3416"/>
    <w:rsid w:val="006B7D21"/>
    <w:rsid w:val="006C57FB"/>
    <w:rsid w:val="006D009C"/>
    <w:rsid w:val="006E0683"/>
    <w:rsid w:val="007069D9"/>
    <w:rsid w:val="00712877"/>
    <w:rsid w:val="0071720A"/>
    <w:rsid w:val="00717341"/>
    <w:rsid w:val="00733EC4"/>
    <w:rsid w:val="00745F3A"/>
    <w:rsid w:val="00764140"/>
    <w:rsid w:val="00777A51"/>
    <w:rsid w:val="00790024"/>
    <w:rsid w:val="00793F66"/>
    <w:rsid w:val="007979AA"/>
    <w:rsid w:val="007A0EAD"/>
    <w:rsid w:val="007A15AA"/>
    <w:rsid w:val="007A6736"/>
    <w:rsid w:val="007C6479"/>
    <w:rsid w:val="007D643B"/>
    <w:rsid w:val="007D6744"/>
    <w:rsid w:val="007F14AF"/>
    <w:rsid w:val="007F48B2"/>
    <w:rsid w:val="007F583D"/>
    <w:rsid w:val="00831F7B"/>
    <w:rsid w:val="00870322"/>
    <w:rsid w:val="008747F9"/>
    <w:rsid w:val="00874C93"/>
    <w:rsid w:val="008755D3"/>
    <w:rsid w:val="008809D7"/>
    <w:rsid w:val="00880AB4"/>
    <w:rsid w:val="00887AB0"/>
    <w:rsid w:val="00897AF6"/>
    <w:rsid w:val="008A488B"/>
    <w:rsid w:val="008E6E7B"/>
    <w:rsid w:val="008E7B5B"/>
    <w:rsid w:val="00901243"/>
    <w:rsid w:val="0090304C"/>
    <w:rsid w:val="00910D6B"/>
    <w:rsid w:val="00927EDD"/>
    <w:rsid w:val="00957F7D"/>
    <w:rsid w:val="00973861"/>
    <w:rsid w:val="00975AD2"/>
    <w:rsid w:val="009805B3"/>
    <w:rsid w:val="00985801"/>
    <w:rsid w:val="00990222"/>
    <w:rsid w:val="00992C5C"/>
    <w:rsid w:val="009B2CE8"/>
    <w:rsid w:val="009B4802"/>
    <w:rsid w:val="009B74CD"/>
    <w:rsid w:val="009E0CEB"/>
    <w:rsid w:val="009F0FBE"/>
    <w:rsid w:val="009F55B2"/>
    <w:rsid w:val="00A01250"/>
    <w:rsid w:val="00A01290"/>
    <w:rsid w:val="00A02D37"/>
    <w:rsid w:val="00A0756B"/>
    <w:rsid w:val="00A11193"/>
    <w:rsid w:val="00A215D8"/>
    <w:rsid w:val="00A33DE4"/>
    <w:rsid w:val="00A520E2"/>
    <w:rsid w:val="00A52D14"/>
    <w:rsid w:val="00A5552F"/>
    <w:rsid w:val="00A60455"/>
    <w:rsid w:val="00AC5183"/>
    <w:rsid w:val="00AD5914"/>
    <w:rsid w:val="00AE18B1"/>
    <w:rsid w:val="00B222D7"/>
    <w:rsid w:val="00B25564"/>
    <w:rsid w:val="00B26328"/>
    <w:rsid w:val="00B33081"/>
    <w:rsid w:val="00B35FFF"/>
    <w:rsid w:val="00B407AE"/>
    <w:rsid w:val="00B53954"/>
    <w:rsid w:val="00B7598D"/>
    <w:rsid w:val="00B851CF"/>
    <w:rsid w:val="00B938B6"/>
    <w:rsid w:val="00BC3DDE"/>
    <w:rsid w:val="00C177A5"/>
    <w:rsid w:val="00C30D9E"/>
    <w:rsid w:val="00C34757"/>
    <w:rsid w:val="00C359ED"/>
    <w:rsid w:val="00C50D49"/>
    <w:rsid w:val="00C63053"/>
    <w:rsid w:val="00C70617"/>
    <w:rsid w:val="00C75F7A"/>
    <w:rsid w:val="00C95D3E"/>
    <w:rsid w:val="00CB659D"/>
    <w:rsid w:val="00CC3C60"/>
    <w:rsid w:val="00CD516B"/>
    <w:rsid w:val="00CD7C74"/>
    <w:rsid w:val="00D03641"/>
    <w:rsid w:val="00D079ED"/>
    <w:rsid w:val="00D1118E"/>
    <w:rsid w:val="00D2470C"/>
    <w:rsid w:val="00D40C52"/>
    <w:rsid w:val="00D5073F"/>
    <w:rsid w:val="00D562B2"/>
    <w:rsid w:val="00D6754B"/>
    <w:rsid w:val="00D87DCF"/>
    <w:rsid w:val="00DD5A49"/>
    <w:rsid w:val="00DE79F4"/>
    <w:rsid w:val="00DF2C19"/>
    <w:rsid w:val="00DF30EC"/>
    <w:rsid w:val="00DF5A73"/>
    <w:rsid w:val="00E1475F"/>
    <w:rsid w:val="00E1635F"/>
    <w:rsid w:val="00E17C9F"/>
    <w:rsid w:val="00E37BBF"/>
    <w:rsid w:val="00E419FC"/>
    <w:rsid w:val="00E60185"/>
    <w:rsid w:val="00E8630A"/>
    <w:rsid w:val="00E95609"/>
    <w:rsid w:val="00EC6432"/>
    <w:rsid w:val="00ED1F32"/>
    <w:rsid w:val="00EE052C"/>
    <w:rsid w:val="00EF66A8"/>
    <w:rsid w:val="00F177BD"/>
    <w:rsid w:val="00F51439"/>
    <w:rsid w:val="00F64D79"/>
    <w:rsid w:val="00F8125F"/>
    <w:rsid w:val="00FA491A"/>
    <w:rsid w:val="00FA5981"/>
    <w:rsid w:val="00FB10C7"/>
    <w:rsid w:val="00FB33E4"/>
    <w:rsid w:val="00FB66AE"/>
    <w:rsid w:val="00FC73DF"/>
    <w:rsid w:val="00FD016A"/>
    <w:rsid w:val="00FD0F4A"/>
    <w:rsid w:val="00FE69BE"/>
    <w:rsid w:val="00FF180C"/>
    <w:rsid w:val="00FF531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8282"/>
  <w15:chartTrackingRefBased/>
  <w15:docId w15:val="{7836BA2A-32B7-450E-944D-869D5E6F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F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Field2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484412776619851E-2"/>
                  <c:y val="-0.1258644331039032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2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dirty="0"/>
                      <a:t>£1713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1A1-400E-89B5-2E87121AA801}"/>
                </c:ext>
              </c:extLst>
            </c:dLbl>
            <c:dLbl>
              <c:idx val="1"/>
              <c:layout>
                <c:manualLayout>
                  <c:x val="5.1958434070985314E-3"/>
                  <c:y val="-5.6938672118432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2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2400" dirty="0"/>
                      <a:t>£2393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1A1-400E-89B5-2E87121AA8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Total for August 2019 in donations</c:v>
                </c:pt>
                <c:pt idx="1">
                  <c:v>August to date 2021 in donations and ticket sales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1713</c:v>
                </c:pt>
                <c:pt idx="1">
                  <c:v>2393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A1-400E-89B5-2E87121AA8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3"/>
        <c:overlap val="-30"/>
        <c:axId val="626844160"/>
        <c:axId val="626841208"/>
      </c:barChart>
      <c:catAx>
        <c:axId val="62684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841208"/>
        <c:crosses val="autoZero"/>
        <c:auto val="1"/>
        <c:lblAlgn val="ctr"/>
        <c:lblOffset val="100"/>
        <c:noMultiLvlLbl val="0"/>
      </c:catAx>
      <c:valAx>
        <c:axId val="626841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844160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Field2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Sheet1!$A$5:$A$6</c:f>
              <c:strCache>
                <c:ptCount val="2"/>
                <c:pt idx="0">
                  <c:v>Spend per visitor August  2019</c:v>
                </c:pt>
                <c:pt idx="1">
                  <c:v>Spend per visitor August to date 2021</c:v>
                </c:pt>
              </c:strCache>
            </c:strRef>
          </c:cat>
          <c:val>
            <c:numRef>
              <c:f>Sheet1!$B$5:$B$6</c:f>
              <c:numCache>
                <c:formatCode>"£"#,##0.00_);[Red]\("£"#,##0.00\)</c:formatCode>
                <c:ptCount val="2"/>
                <c:pt idx="0">
                  <c:v>1.04</c:v>
                </c:pt>
                <c:pt idx="1">
                  <c:v>6.44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48-4308-90F4-5BA1F979E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overlap val="-30"/>
        <c:axId val="615020512"/>
        <c:axId val="615018872"/>
      </c:barChart>
      <c:catAx>
        <c:axId val="61502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018872"/>
        <c:crosses val="autoZero"/>
        <c:auto val="1"/>
        <c:lblAlgn val="ctr"/>
        <c:lblOffset val="100"/>
        <c:noMultiLvlLbl val="0"/>
      </c:catAx>
      <c:valAx>
        <c:axId val="615018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0.00_);[Red]\(&quot;£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02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539B35109E45AB47508BB3532B1F" ma:contentTypeVersion="11" ma:contentTypeDescription="Create a new document." ma:contentTypeScope="" ma:versionID="c17cea8b7133ef85458377eb9bd0d1e3">
  <xsd:schema xmlns:xsd="http://www.w3.org/2001/XMLSchema" xmlns:xs="http://www.w3.org/2001/XMLSchema" xmlns:p="http://schemas.microsoft.com/office/2006/metadata/properties" xmlns:ns2="bc3beba9-c4bb-4378-805d-435c00ac512b" targetNamespace="http://schemas.microsoft.com/office/2006/metadata/properties" ma:root="true" ma:fieldsID="8388e3f43f137c066eb760f1d3843b70" ns2:_="">
    <xsd:import namespace="bc3beba9-c4bb-4378-805d-435c00ac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a9-c4bb-4378-805d-435c00ac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D41D6-F5BD-49DD-81FF-DA8EF557123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c3beba9-c4bb-4378-805d-435c00ac512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7CE1D1-9794-483F-AFC3-D69AE2208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E24B4-3849-4F3C-939E-4A230F4B2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51</cp:revision>
  <dcterms:created xsi:type="dcterms:W3CDTF">2021-09-09T11:57:00Z</dcterms:created>
  <dcterms:modified xsi:type="dcterms:W3CDTF">2021-10-07T08:48:00Z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0x010100849D539B35109E45AB47508BB3532B1F</vt:lpwstr>
  </property>
</Properties>
</file>